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9BE" w:rsidRDefault="00EC6CA1">
      <w:pPr>
        <w:pStyle w:val="Default"/>
        <w:framePr w:w="3291" w:wrap="auto" w:vAnchor="page" w:hAnchor="page" w:x="1202" w:y="1223"/>
        <w:spacing w:after="280"/>
      </w:pPr>
      <w:r>
        <w:rPr>
          <w:noProof/>
          <w:lang w:val="cs-CZ" w:eastAsia="cs-CZ"/>
        </w:rPr>
        <w:drawing>
          <wp:inline distT="0" distB="0" distL="0" distR="0">
            <wp:extent cx="1590675" cy="86677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39BE" w:rsidRDefault="00EC6CA1">
      <w:pPr>
        <w:pStyle w:val="CM2"/>
        <w:framePr w:w="6863" w:wrap="auto" w:vAnchor="page" w:hAnchor="page" w:x="3899" w:y="1176"/>
        <w:spacing w:line="208" w:lineRule="atLeast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FORMBLAT FÜR DEN JAHRESBERICHT DER MITGLIEDSLÂNDER DER ATIBOX MODELE POUR LE RAPPORT ANNUEL DES PAYS MEMBRES DE L'ATIBOX THE FORM FOR THE ANNUAL REPORT OF ATIBOX MEMBER COUNTRIES</w:t>
      </w:r>
    </w:p>
    <w:p w:rsidR="00E039BE" w:rsidRDefault="00EC6CA1">
      <w:pPr>
        <w:pStyle w:val="CM2"/>
        <w:framePr w:w="5689" w:wrap="auto" w:vAnchor="page" w:hAnchor="page" w:x="4431" w:y="1909"/>
        <w:spacing w:line="208" w:lineRule="atLeast"/>
        <w:jc w:val="center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i/>
          <w:iCs/>
          <w:color w:val="000000"/>
          <w:sz w:val="18"/>
          <w:szCs w:val="18"/>
        </w:rPr>
        <w:t xml:space="preserve">Vor dem 1. Mai 2022 in zu schicken : / A adresser avant le . 1 May 2022 à : / To send before May 1st, 2022 to : </w:t>
      </w:r>
    </w:p>
    <w:p w:rsidR="00E039BE" w:rsidRDefault="00EC6CA1">
      <w:pPr>
        <w:pStyle w:val="CM1"/>
        <w:framePr w:w="6190" w:wrap="auto" w:vAnchor="page" w:hAnchor="page" w:x="4542" w:y="2438"/>
        <w:jc w:val="center"/>
        <w:rPr>
          <w:rFonts w:ascii="Calibri" w:hAnsi="Calibri" w:cs="Calibri"/>
          <w:b/>
          <w:color w:val="FF0000"/>
        </w:rPr>
      </w:pPr>
      <w:r>
        <w:rPr>
          <w:rFonts w:ascii="Calibri" w:hAnsi="Calibri" w:cs="Calibri"/>
          <w:b/>
          <w:i/>
          <w:iCs/>
          <w:color w:val="FF0000"/>
        </w:rPr>
        <w:t>secretary@atibox.dog</w:t>
      </w:r>
    </w:p>
    <w:p w:rsidR="00E039BE" w:rsidRDefault="00E039BE">
      <w:pPr>
        <w:pStyle w:val="Default"/>
        <w:rPr>
          <w:color w:val="auto"/>
        </w:rPr>
      </w:pPr>
      <w:bookmarkStart w:id="0" w:name="_GoBack"/>
      <w:bookmarkEnd w:id="0"/>
      <w:r w:rsidRPr="00E039B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pt;margin-top:153.2pt;width:519.75pt;height:692pt;z-index:251659264;mso-position-horizontal-relative:page;mso-position-vertical-relative:page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" filled="f" stroked="f">
            <v:textbox>
              <w:txbxContent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9595"/>
                  </w:tblGrid>
                  <w:tr w:rsidR="00E039BE">
                    <w:trPr>
                      <w:trHeight w:val="945"/>
                    </w:trPr>
                    <w:tc>
                      <w:tcPr>
                        <w:tcW w:w="9595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  <w:shd w:val="clear" w:color="auto" w:fill="0000CC"/>
                        <w:vAlign w:val="center"/>
                      </w:tcPr>
                      <w:p w:rsidR="00E039BE" w:rsidRDefault="00EC6CA1">
                        <w:pPr>
                          <w:pStyle w:val="Default"/>
                          <w:rPr>
                            <w:color w:val="FFFFFF"/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color w:val="FFFFFF"/>
                            <w:sz w:val="21"/>
                            <w:szCs w:val="21"/>
                          </w:rPr>
                          <w:t xml:space="preserve">JAHRESBERICHT FÜR DAS JAHR 2021 / RAPPORT ANNUEL POUR 2021 / ANNUAL REPORT FOR THE YEAR 2021 </w:t>
                        </w:r>
                      </w:p>
                    </w:tc>
                  </w:tr>
                  <w:tr w:rsidR="00E039BE">
                    <w:trPr>
                      <w:trHeight w:val="1282"/>
                    </w:trPr>
                    <w:tc>
                      <w:tcPr>
                        <w:tcW w:w="9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039BE" w:rsidRDefault="00EC6CA1">
                        <w:pPr>
                          <w:pStyle w:val="Default"/>
                          <w:rPr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Land, Anschrift  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Pays, Adresse                                   Country, Address</w:t>
                        </w:r>
                      </w:p>
                      <w:p w:rsidR="00E039BE" w:rsidRDefault="00E039B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  <w:p w:rsidR="00E039BE" w:rsidRDefault="00EC6CA1">
                        <w:pPr>
                          <w:pStyle w:val="Defaul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Boxerklub ČR</w:t>
                        </w:r>
                      </w:p>
                      <w:p w:rsidR="00E039BE" w:rsidRDefault="00EC6CA1">
                        <w:pPr>
                          <w:pStyle w:val="Default"/>
                          <w:rPr>
                            <w:b/>
                            <w:lang w:val="cs-CZ"/>
                          </w:rPr>
                        </w:pPr>
                        <w:r>
                          <w:rPr>
                            <w:b/>
                            <w:lang w:val="cs-CZ"/>
                          </w:rPr>
                          <w:t>Czech Republic           U Pergamenky 1511/3, Praha 7           170 00</w:t>
                        </w:r>
                      </w:p>
                    </w:tc>
                  </w:tr>
                  <w:tr w:rsidR="00E039BE">
                    <w:trPr>
                      <w:trHeight w:val="1280"/>
                    </w:trPr>
                    <w:tc>
                      <w:tcPr>
                        <w:tcW w:w="9595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039BE" w:rsidRDefault="00EC6CA1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Arial" w:hAnsi="Arial" w:cs="Arial"/>
                            <w:sz w:val="20"/>
                            <w:szCs w:val="20"/>
                            <w:lang w:val="en-US"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  <w:lang w:val="en-US" w:eastAsia="en-US"/>
                          </w:rPr>
                          <w:t>Members/Mitglieder</w:t>
                        </w:r>
                      </w:p>
                      <w:p w:rsidR="00E039BE" w:rsidRDefault="00E039BE">
                        <w:pPr>
                          <w:pStyle w:val="Default"/>
                          <w:rPr>
                            <w:lang w:val="en-US" w:eastAsia="en-US"/>
                          </w:rPr>
                        </w:pPr>
                      </w:p>
                      <w:p w:rsidR="00E039BE" w:rsidRDefault="00EC6CA1">
                        <w:pPr>
                          <w:pStyle w:val="Default"/>
                          <w:rPr>
                            <w:b/>
                            <w:bCs/>
                            <w:sz w:val="20"/>
                            <w:szCs w:val="20"/>
                            <w:lang w:val="cs-CZ" w:eastAsia="en-US"/>
                          </w:rPr>
                        </w:pPr>
                        <w:r>
                          <w:rPr>
                            <w:sz w:val="20"/>
                            <w:szCs w:val="20"/>
                            <w:lang w:val="en-US" w:eastAsia="en-US"/>
                          </w:rPr>
                          <w:t>Groups/Gruppen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cs-CZ" w:eastAsia="en-US"/>
                          </w:rPr>
                          <w:t>Members  699                 Groups  13</w:t>
                        </w:r>
                      </w:p>
                      <w:p w:rsidR="00E039BE" w:rsidRDefault="00E039BE">
                        <w:pPr>
                          <w:pStyle w:val="Default"/>
                          <w:rPr>
                            <w:sz w:val="20"/>
                            <w:szCs w:val="20"/>
                            <w:lang w:val="en-US" w:eastAsia="en-US"/>
                          </w:rPr>
                        </w:pPr>
                      </w:p>
                    </w:tc>
                  </w:tr>
                  <w:tr w:rsidR="00E039BE">
                    <w:trPr>
                      <w:trHeight w:val="1475"/>
                    </w:trPr>
                    <w:tc>
                      <w:tcPr>
                        <w:tcW w:w="9595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:rsidR="00E039BE" w:rsidRDefault="00EC6CA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Gefallene Würfe / eingetragene Welpen (Kurzstatistik) </w:t>
                        </w:r>
                      </w:p>
                      <w:p w:rsidR="00E039BE" w:rsidRDefault="00EC6CA1">
                        <w:pPr>
                          <w:pStyle w:val="Default"/>
                          <w:rPr>
                            <w:rFonts w:ascii="Times New Roman" w:hAnsi="Times New Roman" w:cs="Times New Roman"/>
                            <w:i/>
                            <w:iCs/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Nombre des portees et chiots inscrits (Statistique condensée)    Litters / Puppies number (Short statistics)</w:t>
                        </w:r>
                      </w:p>
                      <w:p w:rsidR="00E039BE" w:rsidRDefault="00E039BE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E039BE" w:rsidRDefault="00EC6CA1">
                        <w:pPr>
                          <w:pStyle w:val="Default"/>
                          <w:rPr>
                            <w:sz w:val="21"/>
                            <w:szCs w:val="21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  <w:t>Litters   103                   Puppi</w:t>
                        </w:r>
                        <w:r w:rsidR="00EA6344"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  <w:t>e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  <w:t>s  552</w:t>
                        </w:r>
                      </w:p>
                    </w:tc>
                  </w:tr>
                  <w:tr w:rsidR="00E039BE">
                    <w:trPr>
                      <w:trHeight w:val="1282"/>
                    </w:trPr>
                    <w:tc>
                      <w:tcPr>
                        <w:tcW w:w="9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:rsidR="00E039BE" w:rsidRDefault="00EC6CA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Zuchtschauen                            </w:t>
                        </w:r>
                        <w:r>
                          <w:rPr>
                            <w:sz w:val="20"/>
                            <w:szCs w:val="20"/>
                          </w:rPr>
                          <w:t>Expositions</w:t>
                        </w:r>
                        <w:r>
                          <w:rPr>
                            <w:i/>
                            <w:iCs/>
                            <w:sz w:val="20"/>
                            <w:szCs w:val="20"/>
                          </w:rPr>
                          <w:t xml:space="preserve">                         Special</w:t>
                        </w:r>
                        <w:r>
                          <w:rPr>
                            <w:sz w:val="20"/>
                            <w:szCs w:val="20"/>
                          </w:rPr>
                          <w:t>Dog shows</w:t>
                        </w:r>
                      </w:p>
                      <w:p w:rsidR="00E039BE" w:rsidRDefault="00E039B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  <w:p w:rsidR="00E039BE" w:rsidRDefault="00EC6CA1">
                        <w:pPr>
                          <w:pStyle w:val="Default"/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  <w:t>Club dog shows         9</w:t>
                        </w:r>
                      </w:p>
                      <w:p w:rsidR="00E039BE" w:rsidRDefault="00EC6CA1">
                        <w:pPr>
                          <w:pStyle w:val="Default"/>
                          <w:rPr>
                            <w:sz w:val="21"/>
                            <w:szCs w:val="21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  <w:t xml:space="preserve">                                             Special dog shows     2</w:t>
                        </w:r>
                      </w:p>
                    </w:tc>
                  </w:tr>
                  <w:tr w:rsidR="00E039BE">
                    <w:trPr>
                      <w:trHeight w:val="1282"/>
                    </w:trPr>
                    <w:tc>
                      <w:tcPr>
                        <w:tcW w:w="9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10" w:space="0" w:color="000000"/>
                        </w:tcBorders>
                      </w:tcPr>
                      <w:p w:rsidR="00E039BE" w:rsidRDefault="00EC6CA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Gebrauchshund-Prüfungen    Manifestations de Travail     Working dogs exams / number of dogs</w:t>
                        </w:r>
                      </w:p>
                      <w:p w:rsidR="00E039BE" w:rsidRDefault="00E039BE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</w:p>
                      <w:p w:rsidR="00E039BE" w:rsidRDefault="00EC6CA1">
                        <w:pPr>
                          <w:pStyle w:val="Default"/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  <w:t>Working total</w:t>
                        </w:r>
                        <w:r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  <w:t xml:space="preserve">            142</w:t>
                        </w:r>
                      </w:p>
                      <w:p w:rsidR="00E039BE" w:rsidRDefault="00EC6CA1" w:rsidP="00EA6344">
                        <w:pPr>
                          <w:pStyle w:val="Default"/>
                          <w:rPr>
                            <w:sz w:val="21"/>
                            <w:szCs w:val="21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  <w:t xml:space="preserve">                                             </w:t>
                        </w:r>
                      </w:p>
                    </w:tc>
                  </w:tr>
                  <w:tr w:rsidR="00E039BE">
                    <w:trPr>
                      <w:trHeight w:val="1282"/>
                    </w:trPr>
                    <w:tc>
                      <w:tcPr>
                        <w:tcW w:w="959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039BE" w:rsidRDefault="00EC6CA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Zuchtprüfungen  Tests de caractère pour l'élevage  Tests of character for the breeding / number of dogs</w:t>
                        </w:r>
                      </w:p>
                      <w:p w:rsidR="00E039BE" w:rsidRDefault="00E039BE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E039BE" w:rsidRDefault="00EC6CA1">
                        <w:pPr>
                          <w:pStyle w:val="Default"/>
                          <w:rPr>
                            <w:sz w:val="21"/>
                            <w:szCs w:val="21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  <w:t>17/85</w:t>
                        </w:r>
                      </w:p>
                    </w:tc>
                  </w:tr>
                  <w:tr w:rsidR="00E039BE">
                    <w:trPr>
                      <w:trHeight w:val="1128"/>
                    </w:trPr>
                    <w:tc>
                      <w:tcPr>
                        <w:tcW w:w="9595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039BE" w:rsidRDefault="00EC6CA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Körungen                                 Selections      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                              Selections / number of dogs</w:t>
                        </w:r>
                      </w:p>
                      <w:p w:rsidR="00E039BE" w:rsidRDefault="00E039BE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</w:p>
                      <w:p w:rsidR="00E039BE" w:rsidRDefault="00EC6CA1">
                        <w:pPr>
                          <w:pStyle w:val="Default"/>
                          <w:rPr>
                            <w:sz w:val="21"/>
                            <w:szCs w:val="21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21"/>
                            <w:szCs w:val="21"/>
                            <w:lang w:val="cs-CZ"/>
                          </w:rPr>
                          <w:t>2/6</w:t>
                        </w:r>
                      </w:p>
                    </w:tc>
                  </w:tr>
                  <w:tr w:rsidR="00E039BE">
                    <w:trPr>
                      <w:trHeight w:val="1215"/>
                    </w:trPr>
                    <w:tc>
                      <w:tcPr>
                        <w:tcW w:w="9595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</w:tcPr>
                      <w:p w:rsidR="00E039BE" w:rsidRDefault="00EC6CA1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Besondere Vorkommnisse      Evénements particuliers                 Special events</w:t>
                        </w:r>
                      </w:p>
                      <w:p w:rsidR="00E039BE" w:rsidRDefault="00EC6CA1">
                        <w:pPr>
                          <w:pStyle w:val="Default"/>
                          <w:rPr>
                            <w:b/>
                            <w:bCs/>
                            <w:sz w:val="20"/>
                            <w:szCs w:val="20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cs-CZ"/>
                          </w:rPr>
                          <w:t>Selective race - work of IGP        2x</w:t>
                        </w:r>
                      </w:p>
                      <w:p w:rsidR="00E039BE" w:rsidRDefault="00EC6CA1">
                        <w:pPr>
                          <w:pStyle w:val="Default"/>
                          <w:rPr>
                            <w:b/>
                            <w:bCs/>
                            <w:sz w:val="20"/>
                            <w:szCs w:val="20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cs-CZ"/>
                          </w:rPr>
                          <w:t xml:space="preserve">                                                Republic Championship</w:t>
                        </w:r>
                        <w:r>
                          <w:rPr>
                            <w:b/>
                            <w:bCs/>
                            <w:sz w:val="20"/>
                            <w:szCs w:val="20"/>
                            <w:lang w:val="cs-CZ"/>
                          </w:rPr>
                          <w:t xml:space="preserve"> IGP3</w:t>
                        </w:r>
                      </w:p>
                      <w:p w:rsidR="00E039BE" w:rsidRDefault="00EC6CA1">
                        <w:pPr>
                          <w:pStyle w:val="Default"/>
                          <w:rPr>
                            <w:b/>
                            <w:bCs/>
                            <w:sz w:val="20"/>
                            <w:szCs w:val="20"/>
                            <w:lang w:val="cs-CZ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cs-CZ"/>
                          </w:rPr>
                          <w:t xml:space="preserve">                                                Republic Championship IGP FH</w:t>
                        </w:r>
                      </w:p>
                      <w:p w:rsidR="00E039BE" w:rsidRDefault="00EC6CA1">
                        <w:pPr>
                          <w:pStyle w:val="Defaul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lang w:val="cs-CZ"/>
                          </w:rPr>
                          <w:t xml:space="preserve">                                                ATIBOX IGP FH</w:t>
                        </w:r>
                      </w:p>
                    </w:tc>
                  </w:tr>
                  <w:tr w:rsidR="00E039BE">
                    <w:trPr>
                      <w:trHeight w:val="675"/>
                    </w:trPr>
                    <w:tc>
                      <w:tcPr>
                        <w:tcW w:w="9595" w:type="dxa"/>
                        <w:tcBorders>
                          <w:top w:val="single" w:sz="10" w:space="0" w:color="000000"/>
                          <w:left w:val="single" w:sz="8" w:space="0" w:color="000000"/>
                          <w:bottom w:val="single" w:sz="10" w:space="0" w:color="000000"/>
                          <w:right w:val="single" w:sz="10" w:space="0" w:color="000000"/>
                        </w:tcBorders>
                        <w:shd w:val="clear" w:color="auto" w:fill="CCCCCC"/>
                      </w:tcPr>
                      <w:p w:rsidR="00E039BE" w:rsidRDefault="00EC6CA1">
                        <w:pPr>
                          <w:pStyle w:val="Defaul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 xml:space="preserve">Bitte vermerken Sie in ihrem Bericht die Veränderungen zum Vorjahr / Prière de signaler les changements par rapport à l’année Précédente / Please mark all the changes that have occured since previous year report </w:t>
                        </w:r>
                      </w:p>
                    </w:tc>
                  </w:tr>
                </w:tbl>
                <w:p w:rsidR="00E039BE" w:rsidRDefault="00E039BE">
                  <w:pPr>
                    <w:spacing w:after="0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E039BE" w:rsidRDefault="00E039BE">
                  <w:pPr>
                    <w:spacing w:after="0"/>
                    <w:rPr>
                      <w:rFonts w:ascii="Arial" w:hAnsi="Arial" w:cs="Arial"/>
                      <w:vanish/>
                      <w:color w:val="000000"/>
                      <w:sz w:val="24"/>
                      <w:szCs w:val="24"/>
                    </w:rPr>
                  </w:pPr>
                </w:p>
              </w:txbxContent>
            </v:textbox>
            <w10:wrap type="through" anchorx="page" anchory="page"/>
          </v:shape>
        </w:pict>
      </w:r>
    </w:p>
    <w:p w:rsidR="00E039BE" w:rsidRDefault="00EC6CA1">
      <w:pPr>
        <w:pStyle w:val="Default"/>
        <w:framePr w:w="5931" w:wrap="auto" w:vAnchor="page" w:hAnchor="page" w:x="3022" w:y="15305"/>
        <w:jc w:val="center"/>
      </w:pPr>
      <w:r>
        <w:rPr>
          <w:b/>
          <w:bCs/>
          <w:color w:val="auto"/>
          <w:sz w:val="28"/>
          <w:szCs w:val="28"/>
        </w:rPr>
        <w:t>A</w:t>
      </w:r>
      <w:r>
        <w:rPr>
          <w:color w:val="auto"/>
          <w:sz w:val="28"/>
          <w:szCs w:val="28"/>
        </w:rPr>
        <w:t xml:space="preserve">ssociation </w:t>
      </w:r>
      <w:r>
        <w:rPr>
          <w:b/>
          <w:bCs/>
          <w:color w:val="auto"/>
          <w:sz w:val="28"/>
          <w:szCs w:val="28"/>
        </w:rPr>
        <w:t>T</w:t>
      </w:r>
      <w:r>
        <w:rPr>
          <w:color w:val="auto"/>
          <w:sz w:val="28"/>
          <w:szCs w:val="28"/>
        </w:rPr>
        <w:t xml:space="preserve">echnique </w:t>
      </w:r>
      <w:r>
        <w:rPr>
          <w:b/>
          <w:bCs/>
          <w:color w:val="auto"/>
          <w:sz w:val="28"/>
          <w:szCs w:val="28"/>
        </w:rPr>
        <w:t>I</w:t>
      </w:r>
      <w:r>
        <w:rPr>
          <w:color w:val="auto"/>
          <w:sz w:val="28"/>
          <w:szCs w:val="28"/>
        </w:rPr>
        <w:t xml:space="preserve">nternationale du </w:t>
      </w:r>
      <w:r>
        <w:rPr>
          <w:b/>
          <w:bCs/>
          <w:color w:val="auto"/>
          <w:sz w:val="28"/>
          <w:szCs w:val="28"/>
        </w:rPr>
        <w:t>Box</w:t>
      </w:r>
      <w:r>
        <w:rPr>
          <w:color w:val="auto"/>
          <w:sz w:val="28"/>
          <w:szCs w:val="28"/>
        </w:rPr>
        <w:t xml:space="preserve">er </w:t>
      </w:r>
    </w:p>
    <w:sectPr w:rsidR="00E039BE" w:rsidSect="00E039BE">
      <w:pgSz w:w="11900" w:h="16840"/>
      <w:pgMar w:top="1137" w:right="758" w:bottom="1089" w:left="1035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CA1" w:rsidRDefault="00EC6CA1">
      <w:pPr>
        <w:spacing w:line="240" w:lineRule="auto"/>
      </w:pPr>
      <w:r>
        <w:separator/>
      </w:r>
    </w:p>
  </w:endnote>
  <w:endnote w:type="continuationSeparator" w:id="1">
    <w:p w:rsidR="00EC6CA1" w:rsidRDefault="00EC6CA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等线 Light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CA1" w:rsidRDefault="00EC6CA1">
      <w:pPr>
        <w:spacing w:after="0"/>
      </w:pPr>
      <w:r>
        <w:separator/>
      </w:r>
    </w:p>
  </w:footnote>
  <w:footnote w:type="continuationSeparator" w:id="1">
    <w:p w:rsidR="00EC6CA1" w:rsidRDefault="00EC6CA1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F73B7D"/>
    <w:rsid w:val="00023BA4"/>
    <w:rsid w:val="00043F3C"/>
    <w:rsid w:val="00057BD8"/>
    <w:rsid w:val="00070CBD"/>
    <w:rsid w:val="00080F2B"/>
    <w:rsid w:val="00086232"/>
    <w:rsid w:val="000D4057"/>
    <w:rsid w:val="001818C8"/>
    <w:rsid w:val="001A378A"/>
    <w:rsid w:val="001E46DC"/>
    <w:rsid w:val="00236F7D"/>
    <w:rsid w:val="00273590"/>
    <w:rsid w:val="00281E83"/>
    <w:rsid w:val="002F713E"/>
    <w:rsid w:val="00345E10"/>
    <w:rsid w:val="00357975"/>
    <w:rsid w:val="003B7A7D"/>
    <w:rsid w:val="003D6819"/>
    <w:rsid w:val="003E0748"/>
    <w:rsid w:val="004172EE"/>
    <w:rsid w:val="00432782"/>
    <w:rsid w:val="004825E3"/>
    <w:rsid w:val="004B319A"/>
    <w:rsid w:val="005323C2"/>
    <w:rsid w:val="00536EDC"/>
    <w:rsid w:val="00581E95"/>
    <w:rsid w:val="006079AF"/>
    <w:rsid w:val="00610BC0"/>
    <w:rsid w:val="006111F4"/>
    <w:rsid w:val="00675090"/>
    <w:rsid w:val="00692A1D"/>
    <w:rsid w:val="006A067A"/>
    <w:rsid w:val="006C36D9"/>
    <w:rsid w:val="006F26F6"/>
    <w:rsid w:val="006F7B4B"/>
    <w:rsid w:val="007010F4"/>
    <w:rsid w:val="00726379"/>
    <w:rsid w:val="00764647"/>
    <w:rsid w:val="007A3206"/>
    <w:rsid w:val="007C49BB"/>
    <w:rsid w:val="00816CD4"/>
    <w:rsid w:val="0082115A"/>
    <w:rsid w:val="0085528A"/>
    <w:rsid w:val="00896308"/>
    <w:rsid w:val="008C4B19"/>
    <w:rsid w:val="008C7C7F"/>
    <w:rsid w:val="009161D8"/>
    <w:rsid w:val="0094576C"/>
    <w:rsid w:val="00955F8B"/>
    <w:rsid w:val="009746AA"/>
    <w:rsid w:val="009969A1"/>
    <w:rsid w:val="009A1D84"/>
    <w:rsid w:val="009E68D3"/>
    <w:rsid w:val="00A17B0F"/>
    <w:rsid w:val="00A23DF7"/>
    <w:rsid w:val="00A515C1"/>
    <w:rsid w:val="00AA3BD1"/>
    <w:rsid w:val="00AB0383"/>
    <w:rsid w:val="00B054DA"/>
    <w:rsid w:val="00B83F0E"/>
    <w:rsid w:val="00BA7987"/>
    <w:rsid w:val="00BD7264"/>
    <w:rsid w:val="00C511CA"/>
    <w:rsid w:val="00C608C8"/>
    <w:rsid w:val="00C812C6"/>
    <w:rsid w:val="00CE050F"/>
    <w:rsid w:val="00D33E54"/>
    <w:rsid w:val="00D8108D"/>
    <w:rsid w:val="00D81C00"/>
    <w:rsid w:val="00D9333F"/>
    <w:rsid w:val="00DA30A2"/>
    <w:rsid w:val="00DF2C32"/>
    <w:rsid w:val="00E01BA9"/>
    <w:rsid w:val="00E039BE"/>
    <w:rsid w:val="00E335E4"/>
    <w:rsid w:val="00E33828"/>
    <w:rsid w:val="00E96B8F"/>
    <w:rsid w:val="00EA6344"/>
    <w:rsid w:val="00EC6CA1"/>
    <w:rsid w:val="00ED2ABA"/>
    <w:rsid w:val="00EF0132"/>
    <w:rsid w:val="00F103A8"/>
    <w:rsid w:val="00F56A3F"/>
    <w:rsid w:val="00F73B7D"/>
    <w:rsid w:val="308E5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039BE"/>
    <w:pPr>
      <w:spacing w:after="200" w:line="276" w:lineRule="auto"/>
    </w:pPr>
    <w:rPr>
      <w:sz w:val="22"/>
      <w:szCs w:val="22"/>
      <w:lang w:val="sl-SI" w:eastAsia="sl-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039BE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l-SI" w:eastAsia="sl-SI"/>
    </w:rPr>
  </w:style>
  <w:style w:type="paragraph" w:customStyle="1" w:styleId="CM2">
    <w:name w:val="CM2"/>
    <w:basedOn w:val="Default"/>
    <w:next w:val="Default"/>
    <w:uiPriority w:val="99"/>
    <w:rsid w:val="00E039BE"/>
    <w:rPr>
      <w:color w:val="auto"/>
    </w:rPr>
  </w:style>
  <w:style w:type="paragraph" w:customStyle="1" w:styleId="CM1">
    <w:name w:val="CM1"/>
    <w:basedOn w:val="Default"/>
    <w:next w:val="Default"/>
    <w:uiPriority w:val="99"/>
    <w:rsid w:val="00E039BE"/>
    <w:pPr>
      <w:spacing w:line="208" w:lineRule="atLeast"/>
    </w:pPr>
    <w:rPr>
      <w:color w:val="auto"/>
    </w:rPr>
  </w:style>
  <w:style w:type="paragraph" w:styleId="Textbubliny">
    <w:name w:val="Balloon Text"/>
    <w:basedOn w:val="Normln"/>
    <w:link w:val="TextbublinyChar"/>
    <w:uiPriority w:val="99"/>
    <w:rsid w:val="00EA6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EA6344"/>
    <w:rPr>
      <w:rFonts w:ascii="Tahoma" w:hAnsi="Tahoma" w:cs="Tahoma"/>
      <w:sz w:val="16"/>
      <w:szCs w:val="16"/>
      <w:lang w:val="sl-SI" w:eastAsia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Company>Beuks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rapport-atibox.pub</dc:title>
  <dc:creator>Bernard</dc:creator>
  <cp:lastModifiedBy>robert</cp:lastModifiedBy>
  <cp:revision>2</cp:revision>
  <dcterms:created xsi:type="dcterms:W3CDTF">2022-03-31T10:04:00Z</dcterms:created>
  <dcterms:modified xsi:type="dcterms:W3CDTF">2022-03-31T10:04:00Z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1033-11.2.0.11042</vt:lpwstr>
  </property>
  <property fmtid="{D5CDD505-2E9C-101B-9397-08002B2CF9AE}" pid="3" name="ICV">
    <vt:lpwstr>70949FC8FF02447E8C9AE5C3C34058F7</vt:lpwstr>
  </property>
</Properties>
</file>